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r>
        <w:t/>
      </w:r>
      <w:r>
        <w:rPr>
          <w:b w:val="true"/>
        </w:rPr>
        <w:t xml:space="preserve">Table A3: Summary statistics</w:t>
      </w:r>
    </w:p>
    <w:tbl>
      <w:tblPr>
        <w:tblStyle w:val="TableGrid"/>
      </w:tblPr>
      <w:tblGrid>
        <w:gridCol w:w="2160"/>
        <w:gridCol w:w="2160"/>
        <w:gridCol w:w="2160"/>
        <w:gridCol w:w="2160"/>
        <w:gridCol w:w="2160"/>
        <w:gridCol w:w="2160"/>
      </w:tblGrid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  <w:shd w:val="clear" w:color="000000" w:fill="EEEEEE"/>
          </w:tcPr>
          <w:p>
            <w:pPr>
              <w:spacing w:after="0"/>
              <w:jc w:val="left"/>
            </w:pPr>
            <w:r>
              <w:rPr>
                <w:b w:val="true"/>
              </w:rPr>
              <w:t xml:space="preserve">Variable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  <w:shd w:val="clear" w:color="000000" w:fill="EEEEEE"/>
          </w:tcPr>
          <w:p>
            <w:pPr>
              <w:spacing w:after="0"/>
            </w:pPr>
            <w:r>
              <w:rPr>
                <w:b w:val="true"/>
              </w:rPr>
              <w:t xml:space="preserve">Mean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  <w:shd w:val="clear" w:color="000000" w:fill="EEEEEE"/>
          </w:tcPr>
          <w:p>
            <w:pPr>
              <w:spacing w:after="0"/>
            </w:pPr>
            <w:r>
              <w:rPr>
                <w:b w:val="true"/>
              </w:rPr>
              <w:t xml:space="preserve">Std. deviation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  <w:shd w:val="clear" w:color="000000" w:fill="EEEEEE"/>
          </w:tcPr>
          <w:p>
            <w:pPr>
              <w:spacing w:after="0"/>
            </w:pPr>
            <w:r>
              <w:rPr>
                <w:b w:val="true"/>
              </w:rPr>
              <w:t xml:space="preserve">Min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  <w:shd w:val="clear" w:color="000000" w:fill="EEEEEE"/>
          </w:tcPr>
          <w:p>
            <w:pPr>
              <w:spacing w:after="0"/>
            </w:pPr>
            <w:r>
              <w:rPr>
                <w:b w:val="true"/>
              </w:rPr>
              <w:t xml:space="preserve">Max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  <w:shd w:val="clear" w:color="000000" w:fill="EEEEEE"/>
          </w:tcPr>
          <w:p>
            <w:pPr>
              <w:spacing w:after="0"/>
            </w:pPr>
            <w:r>
              <w:rPr>
                <w:b w:val="true"/>
              </w:rPr>
              <w:t xml:space="preserve">No. of firms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Training Y:1 N:0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0.252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0.434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1.000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Proportion of workers offered training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0.115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0.261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1.000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6,068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Informal Competition (CY avg.)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0.636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0.163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0.118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0.924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Informal Competition (non-SSA countries, industry level average)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0.482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0.072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0.588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Informal Competition (service sectors, CY avg.)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0.641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0.181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0.209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0.924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GDP per capita ('000 USD)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4.574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4.194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0.970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17.961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Children in 0-4 age group per working-age woman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0.561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0.125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0.271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0.785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Children in 5-9 age group per working-age woman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0.494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0.089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0.267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0.651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Female children in 5-9 age group per working-age woman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0.245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0.045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0.132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0.322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Number of workers (logs)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2.675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0.845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5.914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Labor Productivity (logs)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12.766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2.753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2.628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25.859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Age of firm (logs)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2.623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0.677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4.787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Herfindahl index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0.146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0.168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1.000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Exports (proportion of sales)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0.031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0.134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1.000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Foreign ownership (proportion)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0.083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0.256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1.000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Manager experience (logs)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2.654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0.690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4.094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Annual employment growth (%)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4.711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19.093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-91.453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100.000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Line of Credit Y:1 N:0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0.193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0.394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1.000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Duration of power outage (hours)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4.589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11.435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2500.983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Losses from power outages (proportion of annual sales)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0.077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0.126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1.000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Foreign Technology Y:1 N:0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0.107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0.309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1.000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Website Y:1 N:0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0.271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0.444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1.000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Labor regulations obstacle severity (0-4 scale)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0.947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1.037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4.000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Rule of Law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1.266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0.588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2.631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Growth rate of GDP per capita (%, annual)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2.291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4.683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-15.900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17.760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Temporary workers (logs)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0.819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1.206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6.804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Women workers (proportion of all workers)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0.264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0.299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1.000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Bought assets Y:1 N:0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0.412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0.492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1.000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Audited Y:1 N:0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0.408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0.492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1.000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Visited by tax officials Y:1 N:0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0.670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0.470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1.000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Cost of starting a business (logs)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3.755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1.646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6.983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5,127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Visits (number, CY avg.)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2.123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1.821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0.216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9.828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Courts: Major obstacle (CY avg.)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0.123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0.113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0.000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0.509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5,507</w:t>
            </w:r>
          </w:p>
        </w:tc>
      </w:tr>
      <w:tr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  <w:jc w:val="left"/>
            </w:pPr>
            <w:r>
              <w:t xml:space="preserve">Legal and Property rights (EFW)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4.579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1.112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1.665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6.623</w:t>
            </w:r>
          </w:p>
        </w:tc>
        <w:tc>
          <w:tcPr>
            <w:tcW w:w="216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>       6,186</w:t>
            </w:r>
          </w:p>
        </w:tc>
      </w:tr>
    </w:tbl>
    <w:p>
      <w:r>
        <w:t/>
      </w:r>
    </w:p>
    <w:sectPr>
      <w:pgSz w:w="15840" w:h="12240" w:orient="landscape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